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57B7A" w14:textId="0006CA06" w:rsidR="00AC63E6" w:rsidRPr="0005313D" w:rsidRDefault="00AC63E6" w:rsidP="00AC63E6">
      <w:pPr>
        <w:spacing w:line="240" w:lineRule="auto"/>
        <w:contextualSpacing/>
        <w:rPr>
          <w:sz w:val="22"/>
          <w:szCs w:val="22"/>
        </w:rPr>
      </w:pPr>
      <w:r w:rsidRPr="0005313D">
        <w:rPr>
          <w:sz w:val="22"/>
          <w:szCs w:val="22"/>
        </w:rPr>
        <w:t>April 1</w:t>
      </w:r>
      <w:r w:rsidR="00F878BA" w:rsidRPr="0005313D">
        <w:rPr>
          <w:sz w:val="22"/>
          <w:szCs w:val="22"/>
        </w:rPr>
        <w:t>6</w:t>
      </w:r>
      <w:r w:rsidRPr="0005313D">
        <w:rPr>
          <w:sz w:val="22"/>
          <w:szCs w:val="22"/>
        </w:rPr>
        <w:t>, 2025</w:t>
      </w:r>
    </w:p>
    <w:p w14:paraId="32274637" w14:textId="77777777" w:rsidR="00D7459E" w:rsidRPr="0005313D" w:rsidRDefault="00D7459E" w:rsidP="00AC63E6">
      <w:pPr>
        <w:spacing w:line="240" w:lineRule="auto"/>
        <w:contextualSpacing/>
        <w:rPr>
          <w:sz w:val="22"/>
          <w:szCs w:val="22"/>
        </w:rPr>
      </w:pPr>
    </w:p>
    <w:p w14:paraId="2A22F93A" w14:textId="585F6447" w:rsidR="00D7459E" w:rsidRPr="0005313D" w:rsidRDefault="00D7459E" w:rsidP="00AC63E6">
      <w:pPr>
        <w:spacing w:line="240" w:lineRule="auto"/>
        <w:contextualSpacing/>
        <w:rPr>
          <w:sz w:val="22"/>
          <w:szCs w:val="22"/>
        </w:rPr>
      </w:pPr>
      <w:r w:rsidRPr="0005313D">
        <w:rPr>
          <w:sz w:val="22"/>
          <w:szCs w:val="22"/>
        </w:rPr>
        <w:t>Yvone H</w:t>
      </w:r>
      <w:r w:rsidR="00945E73" w:rsidRPr="0005313D">
        <w:rPr>
          <w:sz w:val="22"/>
          <w:szCs w:val="22"/>
        </w:rPr>
        <w:t>ao, Secretary</w:t>
      </w:r>
    </w:p>
    <w:p w14:paraId="5E02E258" w14:textId="4CD1C18E" w:rsidR="00945E73" w:rsidRPr="0005313D" w:rsidRDefault="00945E73" w:rsidP="00AC63E6">
      <w:pPr>
        <w:spacing w:line="240" w:lineRule="auto"/>
        <w:contextualSpacing/>
        <w:rPr>
          <w:sz w:val="22"/>
          <w:szCs w:val="22"/>
        </w:rPr>
      </w:pPr>
      <w:r w:rsidRPr="0005313D">
        <w:rPr>
          <w:sz w:val="22"/>
          <w:szCs w:val="22"/>
        </w:rPr>
        <w:t>Department of Economic Development</w:t>
      </w:r>
    </w:p>
    <w:p w14:paraId="4C72A1A3" w14:textId="37D3826A" w:rsidR="00D823D2" w:rsidRPr="0005313D" w:rsidRDefault="00D823D2" w:rsidP="00AC63E6">
      <w:pPr>
        <w:spacing w:line="240" w:lineRule="auto"/>
        <w:contextualSpacing/>
        <w:rPr>
          <w:sz w:val="22"/>
          <w:szCs w:val="22"/>
        </w:rPr>
      </w:pPr>
      <w:r w:rsidRPr="0005313D">
        <w:rPr>
          <w:sz w:val="22"/>
          <w:szCs w:val="22"/>
        </w:rPr>
        <w:t>1 Ashburton Place</w:t>
      </w:r>
      <w:r w:rsidR="004B7FDB" w:rsidRPr="0005313D">
        <w:rPr>
          <w:sz w:val="22"/>
          <w:szCs w:val="22"/>
        </w:rPr>
        <w:t>, Room 2101</w:t>
      </w:r>
    </w:p>
    <w:p w14:paraId="1AD54490" w14:textId="535FEEC9" w:rsidR="00D823D2" w:rsidRPr="0005313D" w:rsidRDefault="00D823D2" w:rsidP="00AC63E6">
      <w:pPr>
        <w:spacing w:line="240" w:lineRule="auto"/>
        <w:contextualSpacing/>
        <w:rPr>
          <w:sz w:val="22"/>
          <w:szCs w:val="22"/>
        </w:rPr>
      </w:pPr>
      <w:r w:rsidRPr="0005313D">
        <w:rPr>
          <w:sz w:val="22"/>
          <w:szCs w:val="22"/>
        </w:rPr>
        <w:t xml:space="preserve">Boston, MA </w:t>
      </w:r>
      <w:r w:rsidR="004B7FDB" w:rsidRPr="0005313D">
        <w:rPr>
          <w:sz w:val="22"/>
          <w:szCs w:val="22"/>
        </w:rPr>
        <w:t>0210</w:t>
      </w:r>
      <w:r w:rsidR="002D678A" w:rsidRPr="0005313D">
        <w:rPr>
          <w:sz w:val="22"/>
          <w:szCs w:val="22"/>
        </w:rPr>
        <w:t>8</w:t>
      </w:r>
    </w:p>
    <w:p w14:paraId="1A857953" w14:textId="77777777" w:rsidR="002D678A" w:rsidRPr="0005313D" w:rsidRDefault="002D678A" w:rsidP="00AC63E6">
      <w:pPr>
        <w:spacing w:line="240" w:lineRule="auto"/>
        <w:contextualSpacing/>
        <w:rPr>
          <w:sz w:val="22"/>
          <w:szCs w:val="22"/>
        </w:rPr>
      </w:pPr>
    </w:p>
    <w:p w14:paraId="22498A88" w14:textId="675DA89D" w:rsidR="00AC63E6" w:rsidRPr="0005313D" w:rsidRDefault="00AC63E6">
      <w:pPr>
        <w:rPr>
          <w:sz w:val="22"/>
          <w:szCs w:val="22"/>
          <w:u w:val="single"/>
        </w:rPr>
      </w:pPr>
      <w:r w:rsidRPr="0005313D">
        <w:rPr>
          <w:sz w:val="22"/>
          <w:szCs w:val="22"/>
          <w:u w:val="single"/>
        </w:rPr>
        <w:t>Subject: Devens Housing Production Working Group</w:t>
      </w:r>
      <w:r w:rsidR="005C2E8E" w:rsidRPr="0005313D">
        <w:rPr>
          <w:sz w:val="22"/>
          <w:szCs w:val="22"/>
          <w:u w:val="single"/>
        </w:rPr>
        <w:t xml:space="preserve"> – Public Comment</w:t>
      </w:r>
    </w:p>
    <w:p w14:paraId="45158DA6" w14:textId="0828C48E" w:rsidR="00AC63E6" w:rsidRPr="0005313D" w:rsidRDefault="00AC63E6">
      <w:pPr>
        <w:rPr>
          <w:sz w:val="22"/>
          <w:szCs w:val="22"/>
        </w:rPr>
      </w:pPr>
      <w:r w:rsidRPr="0005313D">
        <w:rPr>
          <w:sz w:val="22"/>
          <w:szCs w:val="22"/>
        </w:rPr>
        <w:t xml:space="preserve">Dear </w:t>
      </w:r>
      <w:r w:rsidR="005C2E8E" w:rsidRPr="0005313D">
        <w:rPr>
          <w:sz w:val="22"/>
          <w:szCs w:val="22"/>
        </w:rPr>
        <w:t>Secretary H</w:t>
      </w:r>
      <w:r w:rsidR="00DE0832" w:rsidRPr="0005313D">
        <w:rPr>
          <w:sz w:val="22"/>
          <w:szCs w:val="22"/>
        </w:rPr>
        <w:t>ao:</w:t>
      </w:r>
    </w:p>
    <w:p w14:paraId="24665087" w14:textId="0B70FD42" w:rsidR="00AC63E6" w:rsidRPr="0005313D" w:rsidRDefault="00DE0832" w:rsidP="00AC63E6">
      <w:pPr>
        <w:spacing w:after="120" w:line="240" w:lineRule="auto"/>
        <w:rPr>
          <w:sz w:val="22"/>
          <w:szCs w:val="22"/>
        </w:rPr>
      </w:pPr>
      <w:r w:rsidRPr="0005313D">
        <w:rPr>
          <w:sz w:val="22"/>
          <w:szCs w:val="22"/>
        </w:rPr>
        <w:t xml:space="preserve">The </w:t>
      </w:r>
      <w:r w:rsidR="008218DC" w:rsidRPr="0005313D">
        <w:rPr>
          <w:sz w:val="22"/>
          <w:szCs w:val="22"/>
        </w:rPr>
        <w:t>Harvard Select Board voted Unanimously</w:t>
      </w:r>
      <w:r w:rsidR="00F878BA" w:rsidRPr="0005313D">
        <w:rPr>
          <w:sz w:val="22"/>
          <w:szCs w:val="22"/>
        </w:rPr>
        <w:t xml:space="preserve"> at its meeting of April 15, 2025 </w:t>
      </w:r>
      <w:r w:rsidR="002C59CD" w:rsidRPr="0005313D">
        <w:rPr>
          <w:sz w:val="22"/>
          <w:szCs w:val="22"/>
        </w:rPr>
        <w:t xml:space="preserve">that the following be included as public Comment to the </w:t>
      </w:r>
      <w:r w:rsidR="00F7095D" w:rsidRPr="0005313D">
        <w:rPr>
          <w:sz w:val="22"/>
          <w:szCs w:val="22"/>
        </w:rPr>
        <w:t xml:space="preserve">Plan/Report of the </w:t>
      </w:r>
      <w:r w:rsidR="00AD2D5B" w:rsidRPr="0005313D">
        <w:rPr>
          <w:sz w:val="22"/>
          <w:szCs w:val="22"/>
        </w:rPr>
        <w:t>Devens Housing Production Working Group</w:t>
      </w:r>
      <w:r w:rsidR="00E50C29" w:rsidRPr="0005313D">
        <w:rPr>
          <w:sz w:val="22"/>
          <w:szCs w:val="22"/>
        </w:rPr>
        <w:t xml:space="preserve"> that you chair.</w:t>
      </w:r>
    </w:p>
    <w:p w14:paraId="042C0C29" w14:textId="797C51AE" w:rsidR="00AC63E6" w:rsidRPr="0005313D" w:rsidRDefault="00AC63E6" w:rsidP="00AC63E6">
      <w:pPr>
        <w:spacing w:after="120" w:line="240" w:lineRule="auto"/>
        <w:rPr>
          <w:sz w:val="22"/>
          <w:szCs w:val="22"/>
        </w:rPr>
      </w:pPr>
      <w:r w:rsidRPr="0005313D">
        <w:rPr>
          <w:sz w:val="22"/>
          <w:szCs w:val="22"/>
        </w:rPr>
        <w:t>The two matters of greatest concern to us are the method used to enact any changes to town zoning bylaws</w:t>
      </w:r>
      <w:r w:rsidR="00A50D60" w:rsidRPr="0005313D">
        <w:rPr>
          <w:sz w:val="22"/>
          <w:szCs w:val="22"/>
        </w:rPr>
        <w:t>,</w:t>
      </w:r>
      <w:r w:rsidRPr="0005313D">
        <w:rPr>
          <w:sz w:val="22"/>
          <w:szCs w:val="22"/>
        </w:rPr>
        <w:t xml:space="preserve"> and the omission of binding prescriptive development criteria</w:t>
      </w:r>
      <w:r w:rsidR="00A50D60" w:rsidRPr="0005313D">
        <w:rPr>
          <w:sz w:val="22"/>
          <w:szCs w:val="22"/>
        </w:rPr>
        <w:t xml:space="preserve"> for Vicksburg Square</w:t>
      </w:r>
      <w:r w:rsidRPr="0005313D">
        <w:rPr>
          <w:sz w:val="22"/>
          <w:szCs w:val="22"/>
        </w:rPr>
        <w:t xml:space="preserve">. </w:t>
      </w:r>
    </w:p>
    <w:p w14:paraId="28DB2E74" w14:textId="7A8F8840" w:rsidR="00AC63E6" w:rsidRPr="0005313D" w:rsidRDefault="00AC63E6" w:rsidP="00AC63E6">
      <w:pPr>
        <w:spacing w:after="120" w:line="240" w:lineRule="auto"/>
        <w:rPr>
          <w:sz w:val="22"/>
          <w:szCs w:val="22"/>
        </w:rPr>
      </w:pPr>
      <w:r w:rsidRPr="0005313D">
        <w:rPr>
          <w:sz w:val="22"/>
          <w:szCs w:val="22"/>
        </w:rPr>
        <w:t xml:space="preserve">The draft plan </w:t>
      </w:r>
      <w:r w:rsidR="00916B37" w:rsidRPr="0005313D">
        <w:rPr>
          <w:sz w:val="22"/>
          <w:szCs w:val="22"/>
        </w:rPr>
        <w:t xml:space="preserve">seems to give </w:t>
      </w:r>
      <w:r w:rsidRPr="0005313D">
        <w:rPr>
          <w:sz w:val="22"/>
          <w:szCs w:val="22"/>
        </w:rPr>
        <w:t xml:space="preserve">equal weight to using either a super town meeting or </w:t>
      </w:r>
      <w:r w:rsidR="00916B37" w:rsidRPr="0005313D">
        <w:rPr>
          <w:sz w:val="22"/>
          <w:szCs w:val="22"/>
        </w:rPr>
        <w:t xml:space="preserve">special </w:t>
      </w:r>
      <w:r w:rsidRPr="0005313D">
        <w:rPr>
          <w:sz w:val="22"/>
          <w:szCs w:val="22"/>
        </w:rPr>
        <w:t xml:space="preserve">legislation to change town zoning bylaws. </w:t>
      </w:r>
      <w:r w:rsidRPr="0005313D">
        <w:rPr>
          <w:b/>
          <w:bCs/>
          <w:sz w:val="22"/>
          <w:szCs w:val="22"/>
        </w:rPr>
        <w:t xml:space="preserve">We strongly object to equating these two methods. </w:t>
      </w:r>
      <w:r w:rsidRPr="0005313D">
        <w:rPr>
          <w:sz w:val="22"/>
          <w:szCs w:val="22"/>
        </w:rPr>
        <w:t xml:space="preserve">Any legislative changes to the bylaws of the Devens Regional Enterprise Zone would violate both the detailed, specific language and the spirit of informed self-governance enacted by Massachusetts General Law, Part I, Title VII, Chapter 40A, Section 5. Further, Section 10 of Chapter 498 of the Acts of 1993, the enabling legislation for the Devens Regional Enterprise Zone, specifically states that changes to the Devens Reuse Plan and Bylaws must use the same process as when they were originally adopted, which is a super town meeting, </w:t>
      </w:r>
      <w:r w:rsidR="00916B37" w:rsidRPr="0005313D">
        <w:rPr>
          <w:sz w:val="22"/>
          <w:szCs w:val="22"/>
        </w:rPr>
        <w:t xml:space="preserve">with prior </w:t>
      </w:r>
      <w:r w:rsidRPr="0005313D">
        <w:rPr>
          <w:sz w:val="22"/>
          <w:szCs w:val="22"/>
        </w:rPr>
        <w:t xml:space="preserve"> approval by MassDevelopment.</w:t>
      </w:r>
    </w:p>
    <w:p w14:paraId="7B91DC66" w14:textId="6F6B0645" w:rsidR="00AC63E6" w:rsidRPr="0005313D" w:rsidRDefault="00AC63E6" w:rsidP="00AC63E6">
      <w:pPr>
        <w:spacing w:after="120" w:line="240" w:lineRule="auto"/>
        <w:rPr>
          <w:sz w:val="22"/>
          <w:szCs w:val="22"/>
        </w:rPr>
      </w:pPr>
      <w:r w:rsidRPr="0005313D">
        <w:rPr>
          <w:b/>
          <w:bCs/>
          <w:sz w:val="22"/>
          <w:szCs w:val="22"/>
        </w:rPr>
        <w:t>We know of no case where the Legislature has overridden local zoning bylaws.</w:t>
      </w:r>
      <w:r w:rsidRPr="0005313D">
        <w:rPr>
          <w:sz w:val="22"/>
          <w:szCs w:val="22"/>
        </w:rPr>
        <w:t xml:space="preserve"> </w:t>
      </w:r>
      <w:r w:rsidRPr="0005313D">
        <w:rPr>
          <w:rFonts w:ascii="Aptos" w:eastAsia="Times New Roman" w:hAnsi="Aptos" w:cs="Times New Roman"/>
          <w:color w:val="000000"/>
          <w:kern w:val="0"/>
          <w:sz w:val="22"/>
          <w:szCs w:val="22"/>
          <w14:ligatures w14:val="none"/>
        </w:rPr>
        <w:t>Such legislation would set a precedent for every city and town in the Commonwealth. The fact that the Legislature has the authority to enact such measures does not imply that it is appropriate or justified to do so.  Every zoning bylaw change enacted at Devens over the past 32 years has been accomplished by a super town meeting, and this method has been overwhelmingly successful.</w:t>
      </w:r>
    </w:p>
    <w:p w14:paraId="25C1211A" w14:textId="20705721" w:rsidR="00AC63E6" w:rsidRPr="0005313D" w:rsidRDefault="00AC63E6" w:rsidP="00CE2505">
      <w:pPr>
        <w:spacing w:after="240" w:line="240" w:lineRule="auto"/>
        <w:rPr>
          <w:sz w:val="22"/>
          <w:szCs w:val="22"/>
        </w:rPr>
      </w:pPr>
      <w:r w:rsidRPr="0005313D">
        <w:rPr>
          <w:sz w:val="22"/>
          <w:szCs w:val="22"/>
        </w:rPr>
        <w:t xml:space="preserve">The draft plan calls for up to 400 units of housing to be added to the Innovation and Technology Center (ITC) district, split between adaptive reuse of the Vicksburg Square quadrangle and the remainder of the ITC </w:t>
      </w:r>
      <w:r w:rsidR="002A6EFF" w:rsidRPr="0005313D">
        <w:rPr>
          <w:sz w:val="22"/>
          <w:szCs w:val="22"/>
        </w:rPr>
        <w:t>zone.  Given</w:t>
      </w:r>
      <w:r w:rsidR="00916B37" w:rsidRPr="0005313D">
        <w:rPr>
          <w:sz w:val="22"/>
          <w:szCs w:val="22"/>
        </w:rPr>
        <w:t xml:space="preserve"> </w:t>
      </w:r>
      <w:r w:rsidRPr="0005313D">
        <w:rPr>
          <w:sz w:val="22"/>
          <w:szCs w:val="22"/>
        </w:rPr>
        <w:t>the size and</w:t>
      </w:r>
      <w:r w:rsidR="00916B37" w:rsidRPr="0005313D">
        <w:rPr>
          <w:sz w:val="22"/>
          <w:szCs w:val="22"/>
        </w:rPr>
        <w:t xml:space="preserve"> location</w:t>
      </w:r>
      <w:r w:rsidRPr="0005313D">
        <w:rPr>
          <w:sz w:val="22"/>
          <w:szCs w:val="22"/>
        </w:rPr>
        <w:t xml:space="preserve"> of the Vicksburg Square quadrangle and the anticipated density of units created in them, </w:t>
      </w:r>
      <w:r w:rsidRPr="0005313D">
        <w:rPr>
          <w:b/>
          <w:bCs/>
          <w:sz w:val="22"/>
          <w:szCs w:val="22"/>
        </w:rPr>
        <w:t xml:space="preserve">we strongly recommend that MassDevelopment submit a detailed and </w:t>
      </w:r>
      <w:r w:rsidR="00CC01A9" w:rsidRPr="0005313D">
        <w:rPr>
          <w:b/>
          <w:bCs/>
          <w:sz w:val="22"/>
          <w:szCs w:val="22"/>
        </w:rPr>
        <w:t>enforceable redevelopment</w:t>
      </w:r>
      <w:r w:rsidRPr="0005313D">
        <w:rPr>
          <w:b/>
          <w:bCs/>
          <w:sz w:val="22"/>
          <w:szCs w:val="22"/>
        </w:rPr>
        <w:t xml:space="preserve"> plan </w:t>
      </w:r>
      <w:r w:rsidR="0096439A">
        <w:rPr>
          <w:b/>
          <w:bCs/>
          <w:sz w:val="22"/>
          <w:szCs w:val="22"/>
        </w:rPr>
        <w:t xml:space="preserve">for </w:t>
      </w:r>
      <w:r w:rsidRPr="0005313D">
        <w:rPr>
          <w:b/>
          <w:bCs/>
          <w:sz w:val="22"/>
          <w:szCs w:val="22"/>
        </w:rPr>
        <w:t>any proposed zoning changes</w:t>
      </w:r>
      <w:r w:rsidRPr="0005313D">
        <w:rPr>
          <w:sz w:val="22"/>
          <w:szCs w:val="22"/>
        </w:rPr>
        <w:t>.</w:t>
      </w:r>
    </w:p>
    <w:p w14:paraId="259D89C9" w14:textId="27375319" w:rsidR="00CE2505" w:rsidRPr="0005313D" w:rsidRDefault="00AC63E6">
      <w:pPr>
        <w:rPr>
          <w:sz w:val="22"/>
          <w:szCs w:val="22"/>
        </w:rPr>
      </w:pPr>
      <w:r w:rsidRPr="0005313D">
        <w:rPr>
          <w:sz w:val="22"/>
          <w:szCs w:val="22"/>
        </w:rPr>
        <w:t>Sincerely,</w:t>
      </w:r>
    </w:p>
    <w:p w14:paraId="7508E337" w14:textId="77777777" w:rsidR="00CC01A9" w:rsidRPr="0005313D" w:rsidRDefault="00CC01A9">
      <w:pPr>
        <w:rPr>
          <w:sz w:val="22"/>
          <w:szCs w:val="22"/>
        </w:rPr>
      </w:pPr>
    </w:p>
    <w:p w14:paraId="3CE3DB63" w14:textId="77777777" w:rsidR="004C12D0" w:rsidRPr="0005313D" w:rsidRDefault="000466E3">
      <w:pPr>
        <w:contextualSpacing/>
        <w:rPr>
          <w:sz w:val="22"/>
          <w:szCs w:val="22"/>
        </w:rPr>
      </w:pPr>
      <w:r w:rsidRPr="0005313D">
        <w:rPr>
          <w:sz w:val="22"/>
          <w:szCs w:val="22"/>
        </w:rPr>
        <w:t>SusanMary Redinger, Chair</w:t>
      </w:r>
    </w:p>
    <w:p w14:paraId="6D6A4D68" w14:textId="161BA05D" w:rsidR="0081532F" w:rsidRPr="0005313D" w:rsidRDefault="0081532F">
      <w:pPr>
        <w:contextualSpacing/>
        <w:rPr>
          <w:sz w:val="22"/>
          <w:szCs w:val="22"/>
        </w:rPr>
      </w:pPr>
      <w:r w:rsidRPr="0005313D">
        <w:rPr>
          <w:sz w:val="22"/>
          <w:szCs w:val="22"/>
        </w:rPr>
        <w:t>Harvard Select Board</w:t>
      </w:r>
    </w:p>
    <w:p w14:paraId="0BE413F0" w14:textId="77777777" w:rsidR="00566BF3" w:rsidRPr="0005313D" w:rsidRDefault="00566BF3">
      <w:pPr>
        <w:contextualSpacing/>
        <w:rPr>
          <w:sz w:val="22"/>
          <w:szCs w:val="22"/>
        </w:rPr>
      </w:pPr>
    </w:p>
    <w:p w14:paraId="38C20075" w14:textId="4AA4B749" w:rsidR="00566BF3" w:rsidRPr="0005313D" w:rsidRDefault="00566BF3">
      <w:pPr>
        <w:contextualSpacing/>
        <w:rPr>
          <w:sz w:val="22"/>
          <w:szCs w:val="22"/>
        </w:rPr>
      </w:pPr>
      <w:r w:rsidRPr="0005313D">
        <w:rPr>
          <w:sz w:val="22"/>
          <w:szCs w:val="22"/>
        </w:rPr>
        <w:t>Cc:</w:t>
      </w:r>
    </w:p>
    <w:p w14:paraId="43D153B1" w14:textId="10855F8E" w:rsidR="00FE1642" w:rsidRPr="0005313D" w:rsidRDefault="00CF7278">
      <w:pPr>
        <w:contextualSpacing/>
        <w:rPr>
          <w:sz w:val="22"/>
          <w:szCs w:val="22"/>
        </w:rPr>
      </w:pPr>
      <w:r w:rsidRPr="0005313D">
        <w:rPr>
          <w:sz w:val="22"/>
          <w:szCs w:val="22"/>
        </w:rPr>
        <w:t>Sh</w:t>
      </w:r>
      <w:r w:rsidR="009B4F9D" w:rsidRPr="0005313D">
        <w:rPr>
          <w:sz w:val="22"/>
          <w:szCs w:val="22"/>
        </w:rPr>
        <w:t>au</w:t>
      </w:r>
      <w:r w:rsidR="00227070" w:rsidRPr="0005313D">
        <w:rPr>
          <w:sz w:val="22"/>
          <w:szCs w:val="22"/>
        </w:rPr>
        <w:t>n</w:t>
      </w:r>
      <w:r w:rsidR="009B4F9D" w:rsidRPr="0005313D">
        <w:rPr>
          <w:sz w:val="22"/>
          <w:szCs w:val="22"/>
        </w:rPr>
        <w:t xml:space="preserve"> Copeland, Chair, </w:t>
      </w:r>
      <w:r w:rsidR="00FE1642" w:rsidRPr="0005313D">
        <w:rPr>
          <w:sz w:val="22"/>
          <w:szCs w:val="22"/>
        </w:rPr>
        <w:t>Ayer</w:t>
      </w:r>
      <w:r w:rsidR="00227070" w:rsidRPr="0005313D">
        <w:rPr>
          <w:sz w:val="22"/>
          <w:szCs w:val="22"/>
        </w:rPr>
        <w:t xml:space="preserve"> Select Board</w:t>
      </w:r>
    </w:p>
    <w:p w14:paraId="7C1772BA" w14:textId="47851A33" w:rsidR="00FE1642" w:rsidRPr="0005313D" w:rsidRDefault="003A136B">
      <w:pPr>
        <w:contextualSpacing/>
        <w:rPr>
          <w:sz w:val="22"/>
          <w:szCs w:val="22"/>
        </w:rPr>
      </w:pPr>
      <w:r w:rsidRPr="0005313D">
        <w:rPr>
          <w:sz w:val="22"/>
          <w:szCs w:val="22"/>
        </w:rPr>
        <w:t xml:space="preserve">Debra </w:t>
      </w:r>
      <w:r w:rsidR="00FA55C8" w:rsidRPr="0005313D">
        <w:rPr>
          <w:sz w:val="22"/>
          <w:szCs w:val="22"/>
        </w:rPr>
        <w:t>Flagg, Chair,</w:t>
      </w:r>
      <w:r w:rsidR="00FE1642" w:rsidRPr="0005313D">
        <w:rPr>
          <w:sz w:val="22"/>
          <w:szCs w:val="22"/>
        </w:rPr>
        <w:t xml:space="preserve"> Shirley</w:t>
      </w:r>
      <w:r w:rsidR="00FA55C8" w:rsidRPr="0005313D">
        <w:rPr>
          <w:sz w:val="22"/>
          <w:szCs w:val="22"/>
        </w:rPr>
        <w:t xml:space="preserve"> Select Board</w:t>
      </w:r>
    </w:p>
    <w:p w14:paraId="19F2EE43" w14:textId="178C87DD" w:rsidR="00FE1642" w:rsidRPr="0005313D" w:rsidRDefault="00FE1642">
      <w:pPr>
        <w:contextualSpacing/>
        <w:rPr>
          <w:sz w:val="22"/>
          <w:szCs w:val="22"/>
        </w:rPr>
      </w:pPr>
      <w:r w:rsidRPr="0005313D">
        <w:rPr>
          <w:sz w:val="22"/>
          <w:szCs w:val="22"/>
        </w:rPr>
        <w:t>Senator James Eldridge</w:t>
      </w:r>
    </w:p>
    <w:p w14:paraId="40CFB43E" w14:textId="1282EFFF" w:rsidR="00FE1642" w:rsidRPr="0005313D" w:rsidRDefault="00FE1642">
      <w:pPr>
        <w:contextualSpacing/>
        <w:rPr>
          <w:sz w:val="22"/>
          <w:szCs w:val="22"/>
        </w:rPr>
      </w:pPr>
      <w:r w:rsidRPr="0005313D">
        <w:rPr>
          <w:sz w:val="22"/>
          <w:szCs w:val="22"/>
        </w:rPr>
        <w:t xml:space="preserve">Senator </w:t>
      </w:r>
      <w:r w:rsidR="003D1730" w:rsidRPr="0005313D">
        <w:rPr>
          <w:sz w:val="22"/>
          <w:szCs w:val="22"/>
        </w:rPr>
        <w:t>John Cronin</w:t>
      </w:r>
    </w:p>
    <w:p w14:paraId="10CEC4BA" w14:textId="116C094D" w:rsidR="003D1730" w:rsidRPr="0005313D" w:rsidRDefault="003D1730">
      <w:pPr>
        <w:contextualSpacing/>
        <w:rPr>
          <w:sz w:val="22"/>
          <w:szCs w:val="22"/>
        </w:rPr>
      </w:pPr>
      <w:r w:rsidRPr="0005313D">
        <w:rPr>
          <w:sz w:val="22"/>
          <w:szCs w:val="22"/>
        </w:rPr>
        <w:t>Representative Danillo Sena</w:t>
      </w:r>
    </w:p>
    <w:sectPr w:rsidR="003D1730" w:rsidRPr="0005313D" w:rsidSect="00CE2505">
      <w:headerReference w:type="default" r:id="rId7"/>
      <w:pgSz w:w="12240" w:h="15840"/>
      <w:pgMar w:top="144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3D604" w14:textId="77777777" w:rsidR="002D48C2" w:rsidRDefault="002D48C2" w:rsidP="00AC63E6">
      <w:pPr>
        <w:spacing w:after="0" w:line="240" w:lineRule="auto"/>
      </w:pPr>
      <w:r>
        <w:separator/>
      </w:r>
    </w:p>
  </w:endnote>
  <w:endnote w:type="continuationSeparator" w:id="0">
    <w:p w14:paraId="047712DE" w14:textId="77777777" w:rsidR="002D48C2" w:rsidRDefault="002D48C2" w:rsidP="00AC6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Body 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82543" w14:textId="77777777" w:rsidR="002D48C2" w:rsidRDefault="002D48C2" w:rsidP="00AC63E6">
      <w:pPr>
        <w:spacing w:after="0" w:line="240" w:lineRule="auto"/>
      </w:pPr>
      <w:r>
        <w:separator/>
      </w:r>
    </w:p>
  </w:footnote>
  <w:footnote w:type="continuationSeparator" w:id="0">
    <w:p w14:paraId="3E7D181B" w14:textId="77777777" w:rsidR="002D48C2" w:rsidRDefault="002D48C2" w:rsidP="00AC63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BF5B1" w14:textId="439C750C" w:rsidR="00AC63E6" w:rsidRPr="00AC63E6" w:rsidRDefault="00AD6D27" w:rsidP="00AC63E6">
    <w:pPr>
      <w:pStyle w:val="Header"/>
      <w:jc w:val="center"/>
      <w:rPr>
        <w:rFonts w:cs="Times New Roman (Body CS)"/>
        <w:sz w:val="32"/>
      </w:rPr>
    </w:pPr>
    <w:r>
      <w:rPr>
        <w:rFonts w:cs="Times New Roman (Body CS)"/>
        <w:sz w:val="32"/>
      </w:rPr>
      <w:t>Town of Harvard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3E6"/>
    <w:rsid w:val="00032FA4"/>
    <w:rsid w:val="000466E3"/>
    <w:rsid w:val="0005313D"/>
    <w:rsid w:val="00092392"/>
    <w:rsid w:val="001566DA"/>
    <w:rsid w:val="00173531"/>
    <w:rsid w:val="001D3977"/>
    <w:rsid w:val="001E6AA6"/>
    <w:rsid w:val="00227070"/>
    <w:rsid w:val="0024069E"/>
    <w:rsid w:val="002A6EFF"/>
    <w:rsid w:val="002C59CD"/>
    <w:rsid w:val="002D48C2"/>
    <w:rsid w:val="002D678A"/>
    <w:rsid w:val="00316B6D"/>
    <w:rsid w:val="003773E9"/>
    <w:rsid w:val="003A136B"/>
    <w:rsid w:val="003D1730"/>
    <w:rsid w:val="004B7FDB"/>
    <w:rsid w:val="004C12D0"/>
    <w:rsid w:val="00540AAD"/>
    <w:rsid w:val="00566BF3"/>
    <w:rsid w:val="00573422"/>
    <w:rsid w:val="005777A8"/>
    <w:rsid w:val="005A2DEC"/>
    <w:rsid w:val="005C2E8E"/>
    <w:rsid w:val="005E6C25"/>
    <w:rsid w:val="00616053"/>
    <w:rsid w:val="00801A18"/>
    <w:rsid w:val="0081532F"/>
    <w:rsid w:val="008218DC"/>
    <w:rsid w:val="008415AD"/>
    <w:rsid w:val="00851073"/>
    <w:rsid w:val="00916B37"/>
    <w:rsid w:val="00945E73"/>
    <w:rsid w:val="0096439A"/>
    <w:rsid w:val="009730FA"/>
    <w:rsid w:val="00992280"/>
    <w:rsid w:val="009B4F9D"/>
    <w:rsid w:val="00A50D60"/>
    <w:rsid w:val="00A64D98"/>
    <w:rsid w:val="00AB1A60"/>
    <w:rsid w:val="00AC30AC"/>
    <w:rsid w:val="00AC63E6"/>
    <w:rsid w:val="00AD2D5B"/>
    <w:rsid w:val="00AD6D27"/>
    <w:rsid w:val="00B7475C"/>
    <w:rsid w:val="00C14447"/>
    <w:rsid w:val="00CC01A9"/>
    <w:rsid w:val="00CC78F4"/>
    <w:rsid w:val="00CE2505"/>
    <w:rsid w:val="00CF687A"/>
    <w:rsid w:val="00CF7278"/>
    <w:rsid w:val="00D3079E"/>
    <w:rsid w:val="00D44667"/>
    <w:rsid w:val="00D54DB9"/>
    <w:rsid w:val="00D7459E"/>
    <w:rsid w:val="00D823D2"/>
    <w:rsid w:val="00DC3D4B"/>
    <w:rsid w:val="00DD642B"/>
    <w:rsid w:val="00DE0832"/>
    <w:rsid w:val="00E50C29"/>
    <w:rsid w:val="00F5225C"/>
    <w:rsid w:val="00F7095D"/>
    <w:rsid w:val="00F878BA"/>
    <w:rsid w:val="00FA55C8"/>
    <w:rsid w:val="00FE1642"/>
    <w:rsid w:val="00FE2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6410E"/>
  <w15:chartTrackingRefBased/>
  <w15:docId w15:val="{31AA57B2-AF6F-084E-9E9E-0505A92A8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next w:val="Normal"/>
    <w:link w:val="Heading1Char"/>
    <w:uiPriority w:val="9"/>
    <w:qFormat/>
    <w:rsid w:val="00AC63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63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63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63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63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63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63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63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63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63E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63E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63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63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63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63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63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63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63E6"/>
    <w:rPr>
      <w:rFonts w:eastAsiaTheme="majorEastAsia" w:cstheme="majorBidi"/>
      <w:color w:val="272727" w:themeColor="text1" w:themeTint="D8"/>
    </w:rPr>
  </w:style>
  <w:style w:type="paragraph" w:styleId="Title">
    <w:name w:val="Title"/>
    <w:basedOn w:val="Normal"/>
    <w:next w:val="Normal"/>
    <w:link w:val="TitleChar"/>
    <w:uiPriority w:val="10"/>
    <w:qFormat/>
    <w:rsid w:val="00AC63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63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63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63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63E6"/>
    <w:pPr>
      <w:spacing w:before="160"/>
      <w:jc w:val="center"/>
    </w:pPr>
    <w:rPr>
      <w:i/>
      <w:iCs/>
      <w:color w:val="404040" w:themeColor="text1" w:themeTint="BF"/>
    </w:rPr>
  </w:style>
  <w:style w:type="character" w:customStyle="1" w:styleId="QuoteChar">
    <w:name w:val="Quote Char"/>
    <w:basedOn w:val="DefaultParagraphFont"/>
    <w:link w:val="Quote"/>
    <w:uiPriority w:val="29"/>
    <w:rsid w:val="00AC63E6"/>
    <w:rPr>
      <w:i/>
      <w:iCs/>
      <w:color w:val="404040" w:themeColor="text1" w:themeTint="BF"/>
    </w:rPr>
  </w:style>
  <w:style w:type="paragraph" w:styleId="ListParagraph">
    <w:name w:val="List Paragraph"/>
    <w:basedOn w:val="Normal"/>
    <w:uiPriority w:val="34"/>
    <w:qFormat/>
    <w:rsid w:val="00AC63E6"/>
    <w:pPr>
      <w:ind w:left="720"/>
      <w:contextualSpacing/>
    </w:pPr>
  </w:style>
  <w:style w:type="character" w:styleId="IntenseEmphasis">
    <w:name w:val="Intense Emphasis"/>
    <w:basedOn w:val="DefaultParagraphFont"/>
    <w:uiPriority w:val="21"/>
    <w:qFormat/>
    <w:rsid w:val="00AC63E6"/>
    <w:rPr>
      <w:i/>
      <w:iCs/>
      <w:color w:val="0F4761" w:themeColor="accent1" w:themeShade="BF"/>
    </w:rPr>
  </w:style>
  <w:style w:type="paragraph" w:styleId="IntenseQuote">
    <w:name w:val="Intense Quote"/>
    <w:basedOn w:val="Normal"/>
    <w:next w:val="Normal"/>
    <w:link w:val="IntenseQuoteChar"/>
    <w:uiPriority w:val="30"/>
    <w:qFormat/>
    <w:rsid w:val="00AC63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63E6"/>
    <w:rPr>
      <w:i/>
      <w:iCs/>
      <w:color w:val="0F4761" w:themeColor="accent1" w:themeShade="BF"/>
    </w:rPr>
  </w:style>
  <w:style w:type="character" w:styleId="IntenseReference">
    <w:name w:val="Intense Reference"/>
    <w:basedOn w:val="DefaultParagraphFont"/>
    <w:uiPriority w:val="32"/>
    <w:qFormat/>
    <w:rsid w:val="00AC63E6"/>
    <w:rPr>
      <w:b/>
      <w:bCs/>
      <w:smallCaps/>
      <w:color w:val="0F4761" w:themeColor="accent1" w:themeShade="BF"/>
      <w:spacing w:val="5"/>
    </w:rPr>
  </w:style>
  <w:style w:type="paragraph" w:styleId="Header">
    <w:name w:val="header"/>
    <w:basedOn w:val="Normal"/>
    <w:link w:val="HeaderChar"/>
    <w:uiPriority w:val="99"/>
    <w:unhideWhenUsed/>
    <w:rsid w:val="00AC63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3E6"/>
  </w:style>
  <w:style w:type="paragraph" w:styleId="Footer">
    <w:name w:val="footer"/>
    <w:basedOn w:val="Normal"/>
    <w:link w:val="FooterChar"/>
    <w:uiPriority w:val="99"/>
    <w:unhideWhenUsed/>
    <w:rsid w:val="00AC63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3E6"/>
  </w:style>
  <w:style w:type="paragraph" w:styleId="Revision">
    <w:name w:val="Revision"/>
    <w:hidden/>
    <w:uiPriority w:val="99"/>
    <w:semiHidden/>
    <w:rsid w:val="00916B37"/>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A661F4043A05C439BEE1350EDBAE82D" ma:contentTypeVersion="16" ma:contentTypeDescription="Create a new document." ma:contentTypeScope="" ma:versionID="1ae7b393244b1d4da9cbf741443d27fa">
  <xsd:schema xmlns:xsd="http://www.w3.org/2001/XMLSchema" xmlns:xs="http://www.w3.org/2001/XMLSchema" xmlns:p="http://schemas.microsoft.com/office/2006/metadata/properties" xmlns:ns2="c58f1ac4-619f-4a77-9fd3-ba549daf15b3" xmlns:ns3="7b83dbe2-6fd2-449a-a932-0d75829bf641" targetNamespace="http://schemas.microsoft.com/office/2006/metadata/properties" ma:root="true" ma:fieldsID="d3b13e61b7237c3d330169e78c36130f" ns2:_="" ns3:_="">
    <xsd:import namespace="c58f1ac4-619f-4a77-9fd3-ba549daf15b3"/>
    <xsd:import namespace="7b83dbe2-6fd2-449a-a932-0d75829bf64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f1ac4-619f-4a77-9fd3-ba549daf15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3dbe2-6fd2-449a-a932-0d75829bf641"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86281da-9fcd-4a01-bd6c-53c2c6b52385}" ma:internalName="TaxCatchAll" ma:showField="CatchAllData" ma:web="7b83dbe2-6fd2-449a-a932-0d75829bf6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58f1ac4-619f-4a77-9fd3-ba549daf15b3">
      <Terms xmlns="http://schemas.microsoft.com/office/infopath/2007/PartnerControls"/>
    </lcf76f155ced4ddcb4097134ff3c332f>
    <TaxCatchAll xmlns="7b83dbe2-6fd2-449a-a932-0d75829bf641" xsi:nil="true"/>
  </documentManagement>
</p:properties>
</file>

<file path=customXml/itemProps1.xml><?xml version="1.0" encoding="utf-8"?>
<ds:datastoreItem xmlns:ds="http://schemas.openxmlformats.org/officeDocument/2006/customXml" ds:itemID="{879F89C9-E5BF-C84E-B24A-D9B89998EFC2}">
  <ds:schemaRefs>
    <ds:schemaRef ds:uri="http://schemas.openxmlformats.org/officeDocument/2006/bibliography"/>
  </ds:schemaRefs>
</ds:datastoreItem>
</file>

<file path=customXml/itemProps2.xml><?xml version="1.0" encoding="utf-8"?>
<ds:datastoreItem xmlns:ds="http://schemas.openxmlformats.org/officeDocument/2006/customXml" ds:itemID="{81F72AAB-D611-4F94-A5D5-11608B0DFF11}"/>
</file>

<file path=customXml/itemProps3.xml><?xml version="1.0" encoding="utf-8"?>
<ds:datastoreItem xmlns:ds="http://schemas.openxmlformats.org/officeDocument/2006/customXml" ds:itemID="{6E49FAA8-A6CF-499D-8951-40FD0535E7DF}"/>
</file>

<file path=customXml/itemProps4.xml><?xml version="1.0" encoding="utf-8"?>
<ds:datastoreItem xmlns:ds="http://schemas.openxmlformats.org/officeDocument/2006/customXml" ds:itemID="{C68E344D-0BC1-47B5-AAC7-D8F145C442D9}"/>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 Paul</dc:creator>
  <cp:keywords/>
  <dc:description/>
  <cp:lastModifiedBy>Grimes, Victoria S.  (EOED)</cp:lastModifiedBy>
  <cp:revision>2</cp:revision>
  <dcterms:created xsi:type="dcterms:W3CDTF">2025-04-23T15:29:00Z</dcterms:created>
  <dcterms:modified xsi:type="dcterms:W3CDTF">2025-04-23T15:29:00Z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0x0101000A661F4043A05C439BEE1350EDBAE82D</vt:lpwstr>
  </property>
</Properties>
</file>